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Please support increased investments in high-quality pre-k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Dear Governor Wolf, Senators Scarnati, Corman, Browne, Costa and Hughes, and Representatives Turzai, Reed, Adolph, Dermody and Markosek: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Investments in high-quality pre-k have a significant return on investment for our children, schools and communities. Yet despite the many proven benefits of high-quality pre-k, most of Pennsylvania's 3- and 4-year-olds lack access to this once-in-a-lifetime learning opportunity, including tens of thousands of children at risk of academic failure. In fact, about 70 percent of Pennsylvania’s 175,000 at-risk preschoolers are missing out on publicly funded, high-quality pre-k.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Policymakers on both sides of the aisle increasingly recognize that high-quality pre-k and other early learning investments pay off, but Pennsylvania is failing to fully capitalize on the many benefits these programs provide. We can address this through stronger state investments in high-quality pre-k.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need the commonwealth to step up its efforts to fund high-quality pre-k so we can reach those children who are missing out, particularly those at risk of academic failure. That’s why we support the Pre-K for PA campaign's request to increase state pre-k funding by $90 million for fiscal 2016-17 so an additional 7,400 children can benefit from high-quality pre-k in the coming school year and urge you to prioritize this funding increase as you finalize a state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However, even with that increased investment, more than 107,000 at-risk preschoolers will lack access to high-quality pre-k, which is why pre-k funding must be increased in the years ahead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urge you to make high-quality pre-k investments a clear priority in budget deliberations and we thank you for your commitment to investing in this once-in-a-lifetime learning opportunity.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2"/>
          <w:szCs w:val="22"/>
          <w:rtl w:val="0"/>
        </w:rPr>
        <w:t xml:space="preserve">Organization, City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5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5"/>
        <w:tblGridChange w:id="0">
          <w:tblGrid>
            <w:gridCol w:w="5705"/>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ABC Academy, Carbondale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ADA, Southeastern PA Chapter,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Aldersgate Preschool, Mechanicsburg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Allegheny Intermediate Unit,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Allegheny Lutheran Social Ministries, Bedford</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Alvernia University, Reading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Appleseed Learning Center, Leechburg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Arc of North Central Pa., Liberty</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ARIN IU 28, Indiana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Armstrong County CAP Head Start, Kittanning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Bartos Child and Family Center, Shippensburg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BCAEYC, Newtown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BCAEYC, Doylestown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Begin With Us Child Care and Preschool, Inc., Altoona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Begin With Us, Child Care and Preschool, Inc., Altoona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Benedictine Sisters of Erie, Inc., Erie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Bennett Family Center, State College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Blue Cardinal Group, Lebanon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Bradford-Tigoa Head Start, Inc., Blossburg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Bucks County Quality Child Care Coalition, Levittown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Butterfly Kisses Child Care LLC,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CAAEYC,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Cambria County Child Development Corporation, Westover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CAP of Lancaster County Head Start, Lancaster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Capital Area Head Start,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Capitol Area Head Start, Mechanicsburg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Carlow University, Bethel Park</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Carriage House Children's Center,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Catholic Social Services, Hazelton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Cen Clear Child Services, Inc , Philipsburg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Central Susquahanna Association for the Education of Young Children, Lewisburg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Central Susquahanna Intermediate Unit, Allenwood</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Chester County Head Start, Coatesville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 Advocates of Blair County/Blair County Head Start, Altoona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 Care Health &amp; Safety, LLC, Newtown Square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 Care Provider ,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 Care Providers at Goodwill Industries of NE PA, Scranton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 Development Inc., Gilberton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 Development Inc. , Minersville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Children's Aid Society, Clearfield</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Children's Music Funshop, Bensalem</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Children's Village,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Chinatown Learning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Citibank , Yeadon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City of Pittsburgh,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Community Action Partnership of Cambria County, Johnstown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Community Action Southwest, Washington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Community Council Education Services , Philadelphia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Community Services for Children, Inc., Allentown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Congregation Shaarai Shomayim Sisterhood, Lancaster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Consulting Services,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CORA Services.Inc,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Crafton Children's Corner,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Crayon Castle Child Care Center, Brookville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Creative Beginnings, Rockledge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Creative Beginnings Fox Chase Cancer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Creative Learning Environments Inc,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Cuddle Zone Learning Center, Allentown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Delaware Valley Association for the Education of Young Children*,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Early Childhood Educators of Pennsylvania, Bristol</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Early Childhood Educators of Pennsylvania, Haines Road, Levittown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Early Childhood Professional Development Corp, Johnstown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Early Head Start at The Children's Hospital of Philadelphia,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Early Learning Investment Committee of the Susquehanna River Reg, Sunbury</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Economy League of Greater Philadelphia*,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Education works,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Family and Community Christian Association, Meadville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Fight Crime: Invest in Kids*,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Forest County Children &amp; Youth Services, Tionesta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Frances G Martin, Phd LLC,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Franklin County Head Start Program, Inc., Chambersburg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Georgia E. Gregory Interdenominational School of Music,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God's Window Preschool, Trevose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Grace Trinity Academy,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Grands as Parents,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Healing Wounds Family support Group,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helping2grow consulting, Easton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Hillel Academy,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Hug Me Tight Childlife Centers, Inc,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Indiana County Head Start, Inc, Indiana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Jefferson DeFrees Family Center, Warren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Jefferson-Clarion Head Start, Inc., Brookville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Jeremiah's Place,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Jewish Family Service, Lancaster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JLC Daycare Inc,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Johnson Childcare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Juniata County Head Start/Early Head Start, Mifflintown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Kai's Comfy Corner Childcare and Learning,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Kaplan Early Learning, York</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Kentucky Avenue Children's Center,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Kids First Blair County Lily Pond, Altoona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KinderCare, Chalfont</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KinderCare Learning Center, Wilkes-Barre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Kittyland Child Care,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Kreation Place,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Krissy Kids Family Daycare,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Lancaster Area Association for the Education of Young Children, Elizabethtown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Lancaster Lebanon Intermediate Unit, Lancaster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Latrobe Kinder Schull, Latrobe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Laurel Technical Institute, Meadville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Lebanon Valley Assoiation for the Education of Young Children, Auburn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Lehigh County Head Start, Allentown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Lehigh Valley Children's Center, Lehighton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Lehigh Valley Children's Center, Easton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Little Eden Day Care, Phila.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LITTLE EXPLORERS DAYCARE,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Little Learners Express In Home Learning,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Little Legacy Learning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Little Minds Wonder Childcare Service ,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Mama's Luv Child Care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Messiah College, Mechanicsburg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Millersville University, East Berlin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Mission Committee of Wayne Presbyterian Church, Wayne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Mission Readiness*,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Mrs. Cynthia's Munchkin Romper Room,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Nat's Day Care,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North Penn YMCA, Harleysville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Northampton Community College, Pennsburg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Northumberland Area Head Start, Milton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Once Upon A Time Early Learning Center, Washington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One Pittsburgh,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PA Association of School Administrators,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Parent-Infant Center, Drexel Hill</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PEAK Pottstown School District, Pottstown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Pennsylvania Association for the Education of Young Children*, Lebanon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Pennsylvania Council of Churches Advocacy, Dover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Pennsylvania Economy League,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Pennsylvania Head Start Association*,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Pennsylvania Partnerships for Children*,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Philadelphia Freedom Valley YMCA, Conshohocken,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Philadelphia Head Start Partnership,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Philadelphia Industrial Correctional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Pittsburgh Association for the Education of Young Children*,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Pittsburgh City Council,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Pittsburgh City Council District 4,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Pittsburgh Public School District,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Pittsburgh Public Schools' Early Childhood Program,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Pittsburgh Public Schools Pre-K, Munhall</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Pixie Paradise, West Hazleton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Play &amp; Learn, Fort Washington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Pocono services for families and children, Reeders</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Premier Learning Center, Harrisburg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Priestley Forsyth Memorial Library, Northumberland</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Priscilla Layer, York</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Professional Development Dimensions at Montgomery Early Learning Centers, Bensalem</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Public Citizens for Children and Youth*,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Public Health Management Corporation,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Renaissance Craftables,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Riverview Intermediate Unit, New Bethlehem</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Robert Morris University,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Saint Benedict Center, Erie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Salford Mennonite Child Care, Lansdale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Shawmont Bright Futures,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Shippensburg Head Start , Shippensburg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SLB Radio Productions, Inc.,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Smart beginnings early learning center, Phila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Snyder Union Mifflin Child Development, Inc., Mifflinburg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Southern &amp; Eastern Branch, YMCA of York Co., Shrewsbury</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Southwest Regional Key,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Special People in the Northeast,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St. Cyprian Children's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St. John's Daycare, Nazareth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St. John's Preschool,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St. Joseph's Hill Church Day Care, Boyertown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Stay and Play Preschool and Childcare, State College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Steps to Success, Inc, Leola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SUM Child Development, Milton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Summit Children's Program, Philsdelphia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Sweetland childcare center,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Tableland Services, Inc. CAP For Somerset County, Somerset</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Temple Sinai,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Temple University,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Teresa's Little Heart, Philadelphia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Terri Lynne Lokoff Child Care Foundation, King of Prussia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The Children's School at Saint John's, Bala Cynwyd</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The Children's School, Inc.,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The Goddard School, Wayne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The Junior League of the Lehigh Valley, Center Valley</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The Sitters Clubhouse, Pottstown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Tiferet Bet Israel Preschool, Blue Bell</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Today's Child Learning Centers, Lansdowne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Trinity Childcare, Danville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Turning Points for Children,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United Neighborhood Centers of NEPA, Scranton</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United Way of Bucks County, Fairless Hills</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United Way of Greater Philadelphia and Southern New Jersey*,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United Way of Lancaster County, Lancaster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United Way of Wyoming Valley, Wilkes-Barre</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University of Pittsburgh &amp; "Success4Kids", Gibsonia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White Dove Performing Arts Enrichment Center , Philadelphia </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YMCA York, Dover</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York Jewish Community Center, York</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Youth Service, Inc., Philadelphia</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YWCA, Pittsburgh</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Calibri" w:cs="Calibri" w:eastAsia="Calibri" w:hAnsi="Calibri"/>
                <w:sz w:val="22"/>
                <w:szCs w:val="22"/>
                <w:rtl w:val="0"/>
              </w:rPr>
              <w:t xml:space="preserve">YWCA Commerce Park Child Care Center, Gettysburg</w:t>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pgSz w:h="15840" w:w="12240"/>
      <w:pgMar w:bottom="1296" w:top="1296" w:left="3240" w:right="1296"/>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-1600199</wp:posOffset>
          </wp:positionH>
          <wp:positionV relativeFrom="paragraph">
            <wp:posOffset>822960</wp:posOffset>
          </wp:positionV>
          <wp:extent cx="1453515" cy="914400"/>
          <wp:effectExtent b="0" l="0" r="0" t="0"/>
          <wp:wrapNone/>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453515" cy="9144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-1600199</wp:posOffset>
          </wp:positionH>
          <wp:positionV relativeFrom="paragraph">
            <wp:posOffset>822960</wp:posOffset>
          </wp:positionV>
          <wp:extent cx="1453515" cy="914400"/>
          <wp:effectExtent b="0" l="0" r="0" t="0"/>
          <wp:wrapNone/>
          <wp:docPr id="2" name="image02.jpg"/>
          <a:graphic>
            <a:graphicData uri="http://schemas.openxmlformats.org/drawingml/2006/picture">
              <pic:pic>
                <pic:nvPicPr>
                  <pic:cNvPr id="0" name="image02.jpg"/>
                  <pic:cNvPicPr preferRelativeResize="0"/>
                </pic:nvPicPr>
                <pic:blipFill>
                  <a:blip r:embed="rId1"/>
                  <a:srcRect b="0" l="0" r="0" t="0"/>
                  <a:stretch>
                    <a:fillRect/>
                  </a:stretch>
                </pic:blipFill>
                <pic:spPr>
                  <a:xfrm>
                    <a:off x="0" y="0"/>
                    <a:ext cx="1453515" cy="914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

<file path=word/_rels/header2.xml.rels><?xml version="1.0" encoding="UTF-8" standalone="yes"?><Relationships xmlns="http://schemas.openxmlformats.org/package/2006/relationships"><Relationship Id="rId1" Type="http://schemas.openxmlformats.org/officeDocument/2006/relationships/image" Target="media/image02.jpg"/></Relationships>
</file>